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4"/>
          <w:szCs w:val="24"/>
        </w:rPr>
        <w:outlineLvl w:val="0"/>
      </w:pPr>
      <w:r>
        <w:rPr>
          <w:b/>
          <w:sz w:val="24"/>
          <w:szCs w:val="24"/>
        </w:rPr>
        <w:t xml:space="preserve">ТЕХНИЧЕСКОЕ ЗАДАНИЕ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проведени</w:t>
      </w:r>
      <w:r>
        <w:rPr>
          <w:b/>
          <w:sz w:val="24"/>
          <w:szCs w:val="24"/>
        </w:rPr>
        <w:t xml:space="preserve">е</w:t>
      </w:r>
      <w:r>
        <w:rPr>
          <w:b/>
          <w:sz w:val="24"/>
          <w:szCs w:val="24"/>
        </w:rPr>
        <w:t xml:space="preserve"> закупки </w:t>
      </w:r>
      <w:r>
        <w:rPr>
          <w:b/>
          <w:sz w:val="24"/>
          <w:szCs w:val="24"/>
        </w:rPr>
        <w:t xml:space="preserve">по </w:t>
      </w:r>
      <w:r>
        <w:rPr>
          <w:b/>
          <w:sz w:val="24"/>
          <w:szCs w:val="24"/>
        </w:rPr>
        <w:t xml:space="preserve">обязательному</w:t>
      </w:r>
      <w:r>
        <w:rPr>
          <w:b/>
          <w:sz w:val="24"/>
          <w:szCs w:val="24"/>
        </w:rPr>
        <w:t xml:space="preserve"> страхованию гражданской ответственности владельцев транспортных средств </w:t>
      </w:r>
      <w:r>
        <w:rPr>
          <w:b/>
          <w:sz w:val="24"/>
          <w:szCs w:val="24"/>
        </w:rPr>
        <w:t xml:space="preserve">для н</w:t>
      </w:r>
      <w:r>
        <w:rPr>
          <w:b/>
          <w:sz w:val="24"/>
          <w:szCs w:val="24"/>
        </w:rPr>
        <w:t xml:space="preserve">ужд </w:t>
      </w:r>
      <w:r>
        <w:rPr>
          <w:b/>
          <w:sz w:val="24"/>
          <w:szCs w:val="24"/>
        </w:rPr>
        <w:t xml:space="preserve">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 Сибирь </w:t>
      </w:r>
      <w:r>
        <w:rPr>
          <w:b/>
          <w:sz w:val="24"/>
          <w:szCs w:val="24"/>
        </w:rPr>
        <w:t xml:space="preserve">Тываэнерго</w:t>
      </w:r>
      <w:r>
        <w:rPr>
          <w:b/>
          <w:sz w:val="24"/>
          <w:szCs w:val="24"/>
        </w:rPr>
        <w:t xml:space="preserve">»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ОЗП </w:t>
      </w:r>
      <w:r>
        <w:rPr>
          <w:b/>
          <w:sz w:val="24"/>
          <w:szCs w:val="24"/>
        </w:rPr>
        <w:t xml:space="preserve">в электронной форме</w:t>
      </w:r>
      <w:r>
        <w:rPr>
          <w:b/>
          <w:sz w:val="24"/>
          <w:szCs w:val="24"/>
        </w:rPr>
        <w:t xml:space="preserve">) 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1023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A0" w:firstRow="1" w:lastRow="0" w:firstColumn="1" w:lastColumn="0" w:noHBand="0" w:noVBand="0"/>
      </w:tblPr>
      <w:tblGrid>
        <w:gridCol w:w="560"/>
        <w:gridCol w:w="2663"/>
        <w:gridCol w:w="7011"/>
      </w:tblGrid>
      <w:tr>
        <w:tblPrEx/>
        <w:trPr>
          <w:jc w:val="center"/>
          <w:trHeight w:val="302"/>
        </w:trPr>
        <w:tc>
          <w:tcPr>
            <w:tcW w:w="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/>
                <w:sz w:val="22"/>
                <w:szCs w:val="22"/>
              </w:rPr>
              <w:suppressLineNumbers/>
            </w:pPr>
            <w:r>
              <w:rPr>
                <w:b/>
                <w:sz w:val="22"/>
                <w:szCs w:val="22"/>
              </w:rPr>
              <w:t xml:space="preserve">№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jc w:val="center"/>
              <w:keepLines/>
              <w:keepNext/>
              <w:widowControl w:val="off"/>
              <w:rPr>
                <w:b/>
                <w:sz w:val="22"/>
                <w:szCs w:val="22"/>
              </w:rPr>
              <w:suppressLineNumbers/>
            </w:pPr>
            <w:r>
              <w:rPr>
                <w:b/>
                <w:sz w:val="22"/>
                <w:szCs w:val="22"/>
              </w:rPr>
              <w:t xml:space="preserve">п/п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66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/>
                <w:sz w:val="22"/>
                <w:szCs w:val="22"/>
              </w:rPr>
              <w:suppressLineNumbers/>
            </w:pPr>
            <w:r>
              <w:rPr>
                <w:b/>
                <w:sz w:val="22"/>
                <w:szCs w:val="22"/>
              </w:rPr>
              <w:t xml:space="preserve">Наименование пункта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7011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/>
                <w:sz w:val="22"/>
                <w:szCs w:val="22"/>
              </w:rPr>
              <w:suppressLineNumbers/>
            </w:pPr>
            <w:r>
              <w:rPr>
                <w:b/>
                <w:sz w:val="22"/>
                <w:szCs w:val="22"/>
              </w:rPr>
              <w:t xml:space="preserve">Текст пояснений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  <w:outlineLvl w:val="0"/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  <w:outlineLvl w:val="0"/>
            </w:pPr>
            <w:r>
              <w:rPr>
                <w:sz w:val="22"/>
                <w:szCs w:val="22"/>
              </w:rPr>
              <w:t xml:space="preserve">Вид и предмет закупки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  <w:lang w:eastAsia="en-US"/>
              </w:rPr>
              <w:outlineLvl w:val="0"/>
            </w:pPr>
            <w:r>
              <w:rPr>
                <w:sz w:val="22"/>
                <w:szCs w:val="22"/>
                <w:lang w:eastAsia="en-US"/>
              </w:rPr>
              <w:t xml:space="preserve">ОЗП </w:t>
            </w:r>
            <w:r>
              <w:rPr>
                <w:sz w:val="22"/>
                <w:szCs w:val="22"/>
                <w:lang w:eastAsia="en-US"/>
              </w:rPr>
              <w:t xml:space="preserve">в электронной форме на право заключения договора </w:t>
            </w:r>
            <w:r>
              <w:rPr>
                <w:sz w:val="22"/>
                <w:szCs w:val="22"/>
                <w:lang w:eastAsia="en-US"/>
              </w:rPr>
              <w:t xml:space="preserve">обязательного</w:t>
            </w:r>
            <w:r>
              <w:rPr>
                <w:sz w:val="22"/>
                <w:szCs w:val="22"/>
                <w:lang w:eastAsia="en-US"/>
              </w:rPr>
              <w:t xml:space="preserve"> страхования гражданской ответственности владельцев транспортных средств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для нужд </w:t>
            </w:r>
            <w:r>
              <w:rPr>
                <w:sz w:val="22"/>
                <w:szCs w:val="22"/>
                <w:lang w:eastAsia="en-US"/>
              </w:rPr>
              <w:t xml:space="preserve">АО «</w:t>
            </w:r>
            <w:r>
              <w:rPr>
                <w:sz w:val="22"/>
                <w:szCs w:val="22"/>
                <w:lang w:eastAsia="en-US"/>
              </w:rPr>
              <w:t xml:space="preserve">Россети</w:t>
            </w:r>
            <w:r>
              <w:rPr>
                <w:sz w:val="22"/>
                <w:szCs w:val="22"/>
                <w:lang w:eastAsia="en-US"/>
              </w:rPr>
              <w:t xml:space="preserve"> Сибирь </w:t>
            </w:r>
            <w:r>
              <w:rPr>
                <w:sz w:val="22"/>
                <w:szCs w:val="22"/>
                <w:lang w:eastAsia="en-US"/>
              </w:rPr>
              <w:t xml:space="preserve">Тываэнерго</w:t>
            </w:r>
            <w:r>
              <w:rPr>
                <w:sz w:val="22"/>
                <w:szCs w:val="22"/>
                <w:lang w:eastAsia="en-US"/>
              </w:rPr>
              <w:t xml:space="preserve">»</w:t>
            </w:r>
            <w:r>
              <w:rPr>
                <w:sz w:val="22"/>
                <w:szCs w:val="22"/>
                <w:lang w:eastAsia="en-US"/>
              </w:rPr>
              <w:t xml:space="preserve">.</w:t>
            </w: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</w:tr>
      <w:tr>
        <w:tblPrEx/>
        <w:trPr>
          <w:jc w:val="center"/>
          <w:trHeight w:val="600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  <w:outlineLvl w:val="0"/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  <w:lang w:eastAsia="en-US"/>
              </w:rPr>
              <w:outlineLvl w:val="0"/>
            </w:pPr>
            <w:r>
              <w:rPr>
                <w:sz w:val="22"/>
                <w:szCs w:val="22"/>
                <w:lang w:eastAsia="en-US"/>
              </w:rPr>
              <w:t xml:space="preserve">Территория страхования </w:t>
            </w: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pStyle w:val="893"/>
              <w:ind w:left="0" w:firstLine="0"/>
              <w:tabs>
                <w:tab w:val="clear" w:pos="360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Территорией страхования является территория Российской Федерации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  <w:trHeight w:val="695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  <w:outlineLvl w:val="0"/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  <w:outlineLvl w:val="0"/>
            </w:pPr>
            <w:r>
              <w:rPr>
                <w:sz w:val="22"/>
                <w:szCs w:val="22"/>
              </w:rPr>
              <w:t xml:space="preserve">Порядок формирования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2"/>
                <w:szCs w:val="22"/>
              </w:rPr>
              <w:outlineLvl w:val="0"/>
            </w:pPr>
            <w:r>
              <w:rPr>
                <w:sz w:val="22"/>
                <w:szCs w:val="22"/>
                <w:lang w:eastAsia="en-US"/>
              </w:rPr>
              <w:t xml:space="preserve">Начальная (максимальная) цена договора для целей проведения </w:t>
            </w:r>
            <w:r>
              <w:rPr>
                <w:sz w:val="22"/>
                <w:szCs w:val="22"/>
                <w:lang w:eastAsia="en-US"/>
              </w:rPr>
              <w:t xml:space="preserve">ОЗП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в электронной форме </w:t>
            </w:r>
            <w:r>
              <w:rPr>
                <w:sz w:val="22"/>
                <w:szCs w:val="22"/>
                <w:lang w:eastAsia="en-US"/>
              </w:rPr>
              <w:t xml:space="preserve">установлена Заказчиком в рублях</w:t>
            </w:r>
            <w:r>
              <w:rPr>
                <w:sz w:val="22"/>
                <w:szCs w:val="22"/>
                <w:lang w:eastAsia="en-US"/>
              </w:rPr>
              <w:t xml:space="preserve">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  <w:trHeight w:val="553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  <w:outlineLvl w:val="0"/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  <w:outlineLvl w:val="0"/>
            </w:pPr>
            <w:r>
              <w:rPr>
                <w:sz w:val="22"/>
                <w:szCs w:val="22"/>
              </w:rPr>
              <w:t xml:space="preserve">Наименование лота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  <w:outlineLvl w:val="0"/>
            </w:pPr>
            <w:r>
              <w:rPr>
                <w:sz w:val="22"/>
                <w:szCs w:val="22"/>
              </w:rPr>
              <w:t xml:space="preserve">Обязательное</w:t>
            </w:r>
            <w:r>
              <w:rPr>
                <w:sz w:val="22"/>
                <w:szCs w:val="22"/>
              </w:rPr>
              <w:t xml:space="preserve"> страхование гражданской ответственности владельцев транспортных средств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  <w:outlineLvl w:val="0"/>
            </w:pPr>
            <w:r>
              <w:rPr>
                <w:sz w:val="22"/>
                <w:szCs w:val="22"/>
              </w:rPr>
              <w:t xml:space="preserve">5.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  <w:outlineLvl w:val="0"/>
            </w:pPr>
            <w:r>
              <w:rPr>
                <w:sz w:val="22"/>
                <w:szCs w:val="22"/>
              </w:rPr>
              <w:t xml:space="preserve">Начальная (максимальная) цена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11" w:type="dxa"/>
            <w:vAlign w:val="center"/>
            <w:textDirection w:val="lrTb"/>
            <w:noWrap w:val="false"/>
          </w:tcPr>
          <w:p>
            <w:pPr>
              <w:pStyle w:val="905"/>
              <w:jc w:val="both"/>
              <w:rPr>
                <w:rFonts w:ascii="Times New Roman" w:hAnsi="Times New Roman" w:cs="Times New Roman"/>
                <w:sz w:val="22"/>
                <w:szCs w:val="22"/>
              </w:rPr>
              <w:outlineLvl w:val="0"/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166 154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(Сто шестьдесят шесть тысяч сто пятьдесят четыре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 рубля 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копейка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НДС не облагается.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05"/>
              <w:jc w:val="both"/>
              <w:rPr>
                <w:rFonts w:ascii="Times New Roman" w:hAnsi="Times New Roman" w:cs="Times New Roman"/>
                <w:sz w:val="22"/>
                <w:szCs w:val="22"/>
              </w:rPr>
              <w:outlineLvl w:val="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Начальная (максимальная) цена договора для целей проведения конкурса в электронной форме установлена Заказчиком в рублях.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05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outlineLvl w:val="0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Страхование осуществляется на условиях, определенных Федеральным законом от 25.04.2002 № 40-ФЗ «Об обязательном страховании гражданской ответственности владельцев транспортных средств».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r>
          </w:p>
        </w:tc>
      </w:tr>
      <w:tr>
        <w:tblPrEx/>
        <w:trPr>
          <w:jc w:val="center"/>
          <w:trHeight w:val="393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  <w:outlineLvl w:val="0"/>
            </w:pPr>
            <w:r>
              <w:rPr>
                <w:sz w:val="22"/>
                <w:szCs w:val="22"/>
              </w:rPr>
              <w:t xml:space="preserve">6.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  <w:outlineLvl w:val="0"/>
            </w:pPr>
            <w:r>
              <w:rPr>
                <w:sz w:val="22"/>
                <w:szCs w:val="22"/>
              </w:rPr>
              <w:t xml:space="preserve">С</w:t>
            </w:r>
            <w:r>
              <w:rPr>
                <w:sz w:val="22"/>
                <w:szCs w:val="22"/>
              </w:rPr>
              <w:t xml:space="preserve">роки оказания услуг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jc w:val="both"/>
              <w:tabs>
                <w:tab w:val="left" w:pos="567" w:leader="none"/>
                <w:tab w:val="left" w:pos="1418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«</w:t>
            </w:r>
            <w:r>
              <w:rPr>
                <w:sz w:val="22"/>
                <w:szCs w:val="22"/>
              </w:rPr>
              <w:t xml:space="preserve">0</w:t>
            </w: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апреля</w:t>
            </w:r>
            <w:r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 xml:space="preserve">26</w:t>
            </w:r>
            <w:r>
              <w:rPr>
                <w:sz w:val="22"/>
                <w:szCs w:val="22"/>
              </w:rPr>
              <w:t xml:space="preserve"> г. по </w:t>
            </w:r>
            <w:r>
              <w:rPr>
                <w:sz w:val="22"/>
                <w:szCs w:val="22"/>
              </w:rPr>
              <w:t xml:space="preserve">«</w:t>
            </w:r>
            <w:r>
              <w:rPr>
                <w:sz w:val="22"/>
                <w:szCs w:val="22"/>
              </w:rPr>
              <w:t xml:space="preserve">01</w:t>
            </w:r>
            <w:r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апреля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20</w:t>
            </w:r>
            <w:r>
              <w:rPr>
                <w:sz w:val="22"/>
                <w:szCs w:val="22"/>
              </w:rPr>
              <w:t xml:space="preserve">27</w:t>
            </w:r>
            <w:r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  <w:trHeight w:val="2751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  <w:outlineLvl w:val="0"/>
            </w:pPr>
            <w:r>
              <w:rPr>
                <w:sz w:val="22"/>
                <w:szCs w:val="22"/>
              </w:rPr>
              <w:t xml:space="preserve">7.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  <w:outlineLvl w:val="0"/>
            </w:pPr>
            <w:r>
              <w:rPr>
                <w:sz w:val="22"/>
                <w:szCs w:val="22"/>
              </w:rPr>
              <w:t xml:space="preserve">Основные требования к предмету закупки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  <w:outlineLvl w:val="0"/>
            </w:pPr>
            <w:r>
              <w:rPr>
                <w:sz w:val="22"/>
                <w:szCs w:val="22"/>
              </w:rPr>
              <w:t xml:space="preserve">7.1. Страхователь: </w:t>
            </w:r>
            <w:r>
              <w:rPr>
                <w:sz w:val="22"/>
                <w:szCs w:val="22"/>
              </w:rPr>
              <w:t xml:space="preserve">АО «</w:t>
            </w:r>
            <w:r>
              <w:rPr>
                <w:sz w:val="22"/>
                <w:szCs w:val="22"/>
              </w:rPr>
              <w:t xml:space="preserve">Россети</w:t>
            </w:r>
            <w:r>
              <w:rPr>
                <w:sz w:val="22"/>
                <w:szCs w:val="22"/>
              </w:rPr>
              <w:t xml:space="preserve"> Сибирь </w:t>
            </w:r>
            <w:r>
              <w:rPr>
                <w:sz w:val="22"/>
                <w:szCs w:val="22"/>
              </w:rPr>
              <w:t xml:space="preserve">Тываэнерго</w:t>
            </w:r>
            <w:r>
              <w:rPr>
                <w:sz w:val="22"/>
                <w:szCs w:val="22"/>
              </w:rPr>
              <w:t xml:space="preserve">».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  <w:outlineLvl w:val="0"/>
            </w:pPr>
            <w:r>
              <w:rPr>
                <w:sz w:val="22"/>
                <w:szCs w:val="22"/>
              </w:rPr>
              <w:t xml:space="preserve">7.2. </w:t>
            </w:r>
            <w:r>
              <w:rPr>
                <w:sz w:val="22"/>
                <w:szCs w:val="22"/>
              </w:rPr>
              <w:t xml:space="preserve">Требования Заказчика к страховым рискам, страховым случаям, исключениям из страхового покрытия изложены в проекте договора страхования (приложение № ___ к закупочной документации).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  <w:outlineLvl w:val="0"/>
            </w:pPr>
            <w:r>
              <w:rPr>
                <w:sz w:val="22"/>
                <w:szCs w:val="22"/>
              </w:rPr>
              <w:t xml:space="preserve">7.3. </w:t>
            </w:r>
            <w:r>
              <w:rPr>
                <w:sz w:val="22"/>
                <w:szCs w:val="22"/>
              </w:rPr>
              <w:t xml:space="preserve">ОСАГО: страховая сумма, в пределах которой Страховщик обязуется при наступлении каждого страхового случая (</w:t>
            </w:r>
            <w:r>
              <w:rPr>
                <w:sz w:val="22"/>
                <w:szCs w:val="22"/>
              </w:rPr>
              <w:t xml:space="preserve">независимо от их числа в течение срока действия настоящего Договора) возместить потерпевшим причиненный вред, устанавливается Федеральным законом от 25.04.2002 №40-ФЗ «Об обязательном страховании гражданской ответственности владельцев транспортных средств»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  <w:trHeight w:val="699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  <w:outlineLvl w:val="0"/>
            </w:pPr>
            <w:r>
              <w:rPr>
                <w:sz w:val="22"/>
                <w:szCs w:val="22"/>
              </w:rPr>
              <w:t xml:space="preserve">8.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  <w:outlineLvl w:val="0"/>
            </w:pPr>
            <w:r>
              <w:rPr>
                <w:sz w:val="22"/>
                <w:szCs w:val="22"/>
              </w:rPr>
              <w:t xml:space="preserve">Условия оплаты услуг (форма, сроки, порядок)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jc w:val="both"/>
              <w:tabs>
                <w:tab w:val="left" w:pos="9355" w:leader="none"/>
              </w:tabs>
              <w:rPr>
                <w:rStyle w:val="906"/>
                <w:i w:val="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8.</w:t>
            </w: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О</w:t>
            </w:r>
            <w:r>
              <w:rPr>
                <w:sz w:val="22"/>
                <w:szCs w:val="22"/>
              </w:rPr>
              <w:t xml:space="preserve">плата страховой премии производится в течение 10-ти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(них) </w:t>
            </w:r>
            <w:r>
              <w:rPr>
                <w:sz w:val="22"/>
                <w:szCs w:val="22"/>
                <w:highlight w:val="white"/>
              </w:rPr>
              <w:t xml:space="preserve">страхового (-ых) полиса (-</w:t>
            </w:r>
            <w:r>
              <w:rPr>
                <w:sz w:val="22"/>
                <w:szCs w:val="22"/>
                <w:highlight w:val="white"/>
              </w:rPr>
              <w:t xml:space="preserve">ов</w:t>
            </w:r>
            <w:r>
              <w:rPr>
                <w:sz w:val="22"/>
                <w:szCs w:val="22"/>
                <w:highlight w:val="white"/>
              </w:rPr>
              <w:t xml:space="preserve">) </w:t>
            </w:r>
            <w:r>
              <w:rPr>
                <w:rStyle w:val="906"/>
                <w:i w:val="0"/>
                <w:sz w:val="22"/>
                <w:szCs w:val="22"/>
                <w:highlight w:val="white"/>
              </w:rPr>
            </w:r>
            <w:r>
              <w:rPr>
                <w:rStyle w:val="906"/>
                <w:i w:val="0"/>
                <w:sz w:val="22"/>
                <w:szCs w:val="22"/>
                <w:highlight w:val="white"/>
              </w:rPr>
            </w:r>
          </w:p>
          <w:p>
            <w:pPr>
              <w:jc w:val="both"/>
              <w:tabs>
                <w:tab w:val="left" w:pos="9355" w:leader="none"/>
              </w:tabs>
              <w:rPr>
                <w:sz w:val="22"/>
                <w:szCs w:val="22"/>
              </w:rPr>
            </w:pPr>
            <w:r>
              <w:rPr>
                <w:rStyle w:val="906"/>
                <w:i w:val="0"/>
                <w:sz w:val="22"/>
                <w:szCs w:val="22"/>
                <w:highlight w:val="white"/>
              </w:rPr>
              <w:t xml:space="preserve">8</w:t>
            </w:r>
            <w:r>
              <w:rPr>
                <w:sz w:val="22"/>
                <w:szCs w:val="22"/>
                <w:highlight w:val="white"/>
              </w:rPr>
              <w:t xml:space="preserve">.</w:t>
            </w: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. Оплата страховой премии производится в форме безналичного </w:t>
            </w:r>
            <w:r>
              <w:rPr>
                <w:sz w:val="22"/>
                <w:szCs w:val="22"/>
              </w:rPr>
              <w:t xml:space="preserve">перечисления денежных средств на расчетный счет Страховщика.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tabs>
                <w:tab w:val="left" w:pos="935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</w:t>
            </w:r>
            <w:r>
              <w:rPr>
                <w:sz w:val="22"/>
                <w:szCs w:val="22"/>
              </w:rPr>
              <w:t xml:space="preserve">.3</w:t>
            </w:r>
            <w:r>
              <w:rPr>
                <w:sz w:val="22"/>
                <w:szCs w:val="22"/>
              </w:rPr>
              <w:t xml:space="preserve">.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  <w:trHeight w:val="699"/>
        </w:trPr>
        <w:tc>
          <w:tcPr>
            <w:tcW w:w="560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  <w:outlineLvl w:val="0"/>
            </w:pPr>
            <w:r>
              <w:rPr>
                <w:sz w:val="22"/>
                <w:szCs w:val="22"/>
              </w:rPr>
              <w:t xml:space="preserve">9.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участникам закупки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11" w:type="dxa"/>
            <w:textDirection w:val="lrTb"/>
            <w:noWrap w:val="false"/>
          </w:tcPr>
          <w:p>
            <w:pPr>
              <w:jc w:val="both"/>
              <w:tabs>
                <w:tab w:val="left" w:pos="9355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9.1. Наличие у Страховщика филиала</w:t>
            </w:r>
            <w:r>
              <w:rPr>
                <w:sz w:val="22"/>
                <w:szCs w:val="22"/>
              </w:rPr>
              <w:t xml:space="preserve">/представительства</w:t>
            </w:r>
            <w:r>
              <w:rPr>
                <w:sz w:val="22"/>
                <w:szCs w:val="22"/>
              </w:rPr>
              <w:t xml:space="preserve"> в зоне присутствия по месту нахождения </w:t>
            </w:r>
            <w:r>
              <w:rPr>
                <w:sz w:val="22"/>
                <w:szCs w:val="22"/>
              </w:rPr>
              <w:t xml:space="preserve">А</w:t>
            </w:r>
            <w:r>
              <w:rPr>
                <w:sz w:val="22"/>
                <w:szCs w:val="22"/>
              </w:rPr>
              <w:t xml:space="preserve">О «</w:t>
            </w:r>
            <w:r>
              <w:rPr>
                <w:sz w:val="22"/>
                <w:szCs w:val="22"/>
              </w:rPr>
              <w:t xml:space="preserve">Россети</w:t>
            </w:r>
            <w:r>
              <w:rPr>
                <w:sz w:val="22"/>
                <w:szCs w:val="22"/>
              </w:rPr>
              <w:t xml:space="preserve"> Сибирь </w:t>
            </w:r>
            <w:bookmarkStart w:id="0" w:name="_GoBack"/>
            <w:r/>
            <w:bookmarkEnd w:id="0"/>
            <w:r>
              <w:rPr>
                <w:sz w:val="22"/>
                <w:szCs w:val="22"/>
              </w:rPr>
              <w:t xml:space="preserve">Тываэнерго</w:t>
            </w:r>
            <w:r>
              <w:rPr>
                <w:sz w:val="22"/>
                <w:szCs w:val="22"/>
              </w:rPr>
              <w:t xml:space="preserve">», </w:t>
            </w:r>
            <w:r>
              <w:rPr>
                <w:sz w:val="22"/>
                <w:szCs w:val="22"/>
              </w:rPr>
              <w:t xml:space="preserve">г. Кызыл.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882"/>
        <w:spacing w:line="360" w:lineRule="auto"/>
        <w:tabs>
          <w:tab w:val="clear" w:pos="1418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sectPr>
      <w:footnotePr/>
      <w:endnotePr/>
      <w:type w:val="nextPage"/>
      <w:pgSz w:w="11906" w:h="16838" w:orient="portrait"/>
      <w:pgMar w:top="993" w:right="850" w:bottom="426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8.%1."/>
      <w:lvlJc w:val="left"/>
      <w:pPr>
        <w:ind w:left="157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tabs>
          <w:tab w:val="num" w:pos="6947" w:leader="none"/>
        </w:tabs>
      </w:pPr>
      <w:rPr>
        <w:rFonts w:hint="default"/>
        <w:b/>
        <w:bCs/>
        <w:i w:val="0"/>
        <w:iCs w:val="0"/>
        <w:sz w:val="24"/>
      </w:rPr>
    </w:lvl>
    <w:lvl w:ilvl="1">
      <w:start w:val="1"/>
      <w:numFmt w:val="decimal"/>
      <w:isLgl w:val="false"/>
      <w:suff w:val="tab"/>
      <w:lvlText w:val="%1.%2"/>
      <w:lvlJc w:val="left"/>
      <w:pPr>
        <w:ind w:firstLine="567"/>
        <w:tabs>
          <w:tab w:val="num" w:pos="3972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isLgl w:val="false"/>
      <w:suff w:val="tab"/>
      <w:lvlText w:val="%4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left="1134" w:hanging="567"/>
        <w:tabs>
          <w:tab w:val="num" w:pos="1134" w:leader="none"/>
        </w:tabs>
      </w:pPr>
      <w:rPr>
        <w:rFonts w:hint="default"/>
      </w:rPr>
    </w:lvl>
    <w:lvl w:ilvl="5">
      <w:start w:val="1"/>
      <w:numFmt w:val="bullet"/>
      <w:isLgl w:val="false"/>
      <w:suff w:val="tab"/>
      <w:lvlText w:val=""/>
      <w:lvlJc w:val="left"/>
      <w:pPr>
        <w:ind w:left="1701" w:hanging="567"/>
        <w:tabs>
          <w:tab w:val="num" w:pos="1701" w:leader="none"/>
        </w:tabs>
      </w:pPr>
      <w:rPr>
        <w:rFonts w:hint="default" w:ascii="Symbol" w:hAnsi="Symbol" w:cs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2268" w:hanging="567"/>
        <w:tabs>
          <w:tab w:val="num" w:pos="226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22" w:hanging="1224"/>
        <w:tabs>
          <w:tab w:val="num" w:pos="397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98" w:hanging="1440"/>
        <w:tabs>
          <w:tab w:val="num" w:pos="4698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23" w:hanging="540"/>
      </w:pPr>
      <w:rPr>
        <w:rFonts w:hint="default" w:ascii="Times New Roman" w:hAnsi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6" w:hanging="720"/>
      </w:pPr>
      <w:rPr>
        <w:rFonts w:hint="default" w:ascii="Times New Roman" w:hAnsi="Times New Roman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82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multiLevelType w:val="hybridMultilevel"/>
    <w:lvl w:ilvl="0">
      <w:start w:val="9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isLgl w:val="false"/>
      <w:suff w:val="tab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pStyle w:val="872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4"/>
      <w:numFmt w:val="decimal"/>
      <w:pStyle w:val="873"/>
      <w:isLgl w:val="false"/>
      <w:suff w:val="tab"/>
      <w:lvlText w:val="%1.%2."/>
      <w:lvlJc w:val="left"/>
      <w:pPr>
        <w:ind w:left="1674" w:hanging="1134"/>
        <w:tabs>
          <w:tab w:val="num" w:pos="1674" w:leader="none"/>
        </w:tabs>
      </w:pPr>
    </w:lvl>
    <w:lvl w:ilvl="2">
      <w:start w:val="2"/>
      <w:numFmt w:val="decimal"/>
      <w:pStyle w:val="898"/>
      <w:isLgl w:val="false"/>
      <w:suff w:val="tab"/>
      <w:lvlText w:val="%1.%2.%3."/>
      <w:lvlJc w:val="left"/>
      <w:pPr>
        <w:ind w:left="2394" w:hanging="1134"/>
        <w:tabs>
          <w:tab w:val="num" w:pos="2394" w:leader="none"/>
        </w:tabs>
      </w:pPr>
      <w:rPr>
        <w:b/>
        <w:bCs w:val="0"/>
        <w:i w:val="0"/>
        <w:sz w:val="24"/>
        <w:szCs w:val="24"/>
      </w:rPr>
    </w:lvl>
    <w:lvl w:ilvl="3">
      <w:start w:val="1"/>
      <w:numFmt w:val="decimal"/>
      <w:pStyle w:val="899"/>
      <w:isLgl w:val="false"/>
      <w:suff w:val="tab"/>
      <w:lvlText w:val="%1.%2.%3.%4"/>
      <w:lvlJc w:val="left"/>
      <w:pPr>
        <w:ind w:left="1314" w:hanging="1134"/>
        <w:tabs>
          <w:tab w:val="num" w:pos="1314" w:leader="none"/>
        </w:tabs>
      </w:pPr>
      <w:rPr>
        <w:b w:val="0"/>
        <w:i w:val="0"/>
      </w:rPr>
    </w:lvl>
    <w:lvl w:ilvl="4">
      <w:start w:val="1"/>
      <w:numFmt w:val="lowerLetter"/>
      <w:pStyle w:val="901"/>
      <w:isLgl w:val="false"/>
      <w:suff w:val="tab"/>
      <w:lvlText w:val="%5)"/>
      <w:lvlJc w:val="left"/>
      <w:pPr>
        <w:ind w:left="1521" w:hanging="567"/>
        <w:tabs>
          <w:tab w:val="num" w:pos="1521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56" w:hanging="936"/>
        <w:tabs>
          <w:tab w:val="num" w:pos="37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060" w:hanging="1080"/>
        <w:tabs>
          <w:tab w:val="num" w:pos="45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564" w:hanging="1224"/>
        <w:tabs>
          <w:tab w:val="num" w:pos="52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140" w:hanging="1440"/>
        <w:tabs>
          <w:tab w:val="num" w:pos="5940" w:leader="none"/>
        </w:tabs>
      </w:pPr>
    </w:lvl>
  </w:abstractNum>
  <w:abstractNum w:abstractNumId="11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702" w:hanging="851"/>
        <w:tabs>
          <w:tab w:val="num" w:pos="1702" w:leader="none"/>
        </w:tabs>
      </w:pPr>
      <w:rPr>
        <w:rFonts w:hint="default" w:cs="Times New Roman"/>
        <w:b/>
        <w:bCs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3" w:firstLine="567"/>
        <w:tabs>
          <w:tab w:val="num" w:pos="1561" w:leader="none"/>
        </w:tabs>
      </w:pPr>
      <w:rPr>
        <w:rFonts w:hint="default" w:cs="Times New Roman"/>
        <w:b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 w:cs="Times New Roman"/>
        <w:b w:val="0"/>
        <w:bCs w:val="0"/>
        <w:i w:val="0"/>
        <w:iCs w:val="0"/>
        <w:color w:val="auto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 w:ascii="Times New Roman" w:hAnsi="Times New Roman" w:cs="Times New Roman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 w:ascii="Times New Roman" w:hAnsi="Times New Roman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05" w:hanging="720"/>
      </w:pPr>
      <w:rPr>
        <w:rFonts w:hint="default" w:ascii="Times New Roman" w:hAnsi="Times New Roman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14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68" w:hanging="540"/>
      </w:pPr>
      <w:rPr>
        <w:rFonts w:hint="default" w:ascii="Times New Roman" w:hAnsi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5088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98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7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7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08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58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0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388" w:hanging="1800"/>
      </w:pPr>
      <w:rPr>
        <w:rFonts w:hint="default"/>
      </w:r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  <w:tabs>
          <w:tab w:val="num" w:pos="720" w:leader="none"/>
        </w:tabs>
      </w:pPr>
    </w:lvl>
    <w:lvl w:ilvl="2">
      <w:start w:val="2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620" w:hanging="720"/>
        <w:tabs>
          <w:tab w:val="num" w:pos="162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6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0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 w:numId="13">
    <w:abstractNumId w:val="12"/>
  </w:num>
  <w:num w:numId="14">
    <w:abstractNumId w:val="13"/>
  </w:num>
  <w:num w:numId="15">
    <w:abstractNumId w:val="18"/>
  </w:num>
  <w:num w:numId="16">
    <w:abstractNumId w:val="4"/>
  </w:num>
  <w:num w:numId="17">
    <w:abstractNumId w:val="11"/>
  </w:num>
  <w:num w:numId="18">
    <w:abstractNumId w:val="16"/>
  </w:num>
  <w:num w:numId="19">
    <w:abstractNumId w:val="9"/>
  </w:num>
  <w:num w:numId="20">
    <w:abstractNumId w:val="2"/>
  </w:num>
  <w:num w:numId="21">
    <w:abstractNumId w:val="0"/>
  </w:num>
  <w:num w:numId="22">
    <w:abstractNumId w:val="14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8">
    <w:name w:val="Heading 1 Char"/>
    <w:basedOn w:val="875"/>
    <w:link w:val="872"/>
    <w:uiPriority w:val="9"/>
    <w:rPr>
      <w:rFonts w:ascii="Arial" w:hAnsi="Arial" w:eastAsia="Arial" w:cs="Arial"/>
      <w:sz w:val="40"/>
      <w:szCs w:val="40"/>
    </w:rPr>
  </w:style>
  <w:style w:type="character" w:styleId="699">
    <w:name w:val="Heading 2 Char"/>
    <w:basedOn w:val="875"/>
    <w:link w:val="873"/>
    <w:uiPriority w:val="9"/>
    <w:rPr>
      <w:rFonts w:ascii="Arial" w:hAnsi="Arial" w:eastAsia="Arial" w:cs="Arial"/>
      <w:sz w:val="34"/>
    </w:rPr>
  </w:style>
  <w:style w:type="character" w:styleId="700">
    <w:name w:val="Heading 3 Char"/>
    <w:basedOn w:val="875"/>
    <w:link w:val="874"/>
    <w:uiPriority w:val="9"/>
    <w:rPr>
      <w:rFonts w:ascii="Arial" w:hAnsi="Arial" w:eastAsia="Arial" w:cs="Arial"/>
      <w:sz w:val="30"/>
      <w:szCs w:val="30"/>
    </w:rPr>
  </w:style>
  <w:style w:type="paragraph" w:styleId="701">
    <w:name w:val="Heading 4"/>
    <w:basedOn w:val="871"/>
    <w:next w:val="871"/>
    <w:link w:val="70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2">
    <w:name w:val="Heading 4 Char"/>
    <w:basedOn w:val="875"/>
    <w:link w:val="701"/>
    <w:uiPriority w:val="9"/>
    <w:rPr>
      <w:rFonts w:ascii="Arial" w:hAnsi="Arial" w:eastAsia="Arial" w:cs="Arial"/>
      <w:b/>
      <w:bCs/>
      <w:sz w:val="26"/>
      <w:szCs w:val="26"/>
    </w:rPr>
  </w:style>
  <w:style w:type="paragraph" w:styleId="703">
    <w:name w:val="Heading 5"/>
    <w:basedOn w:val="871"/>
    <w:next w:val="871"/>
    <w:link w:val="70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4">
    <w:name w:val="Heading 5 Char"/>
    <w:basedOn w:val="875"/>
    <w:link w:val="703"/>
    <w:uiPriority w:val="9"/>
    <w:rPr>
      <w:rFonts w:ascii="Arial" w:hAnsi="Arial" w:eastAsia="Arial" w:cs="Arial"/>
      <w:b/>
      <w:bCs/>
      <w:sz w:val="24"/>
      <w:szCs w:val="24"/>
    </w:rPr>
  </w:style>
  <w:style w:type="paragraph" w:styleId="705">
    <w:name w:val="Heading 6"/>
    <w:basedOn w:val="871"/>
    <w:next w:val="871"/>
    <w:link w:val="70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6">
    <w:name w:val="Heading 6 Char"/>
    <w:basedOn w:val="875"/>
    <w:link w:val="705"/>
    <w:uiPriority w:val="9"/>
    <w:rPr>
      <w:rFonts w:ascii="Arial" w:hAnsi="Arial" w:eastAsia="Arial" w:cs="Arial"/>
      <w:b/>
      <w:bCs/>
      <w:sz w:val="22"/>
      <w:szCs w:val="22"/>
    </w:rPr>
  </w:style>
  <w:style w:type="paragraph" w:styleId="707">
    <w:name w:val="Heading 7"/>
    <w:basedOn w:val="871"/>
    <w:next w:val="871"/>
    <w:link w:val="70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8">
    <w:name w:val="Heading 7 Char"/>
    <w:basedOn w:val="875"/>
    <w:link w:val="70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9">
    <w:name w:val="Heading 8"/>
    <w:basedOn w:val="871"/>
    <w:next w:val="871"/>
    <w:link w:val="71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0">
    <w:name w:val="Heading 8 Char"/>
    <w:basedOn w:val="875"/>
    <w:link w:val="709"/>
    <w:uiPriority w:val="9"/>
    <w:rPr>
      <w:rFonts w:ascii="Arial" w:hAnsi="Arial" w:eastAsia="Arial" w:cs="Arial"/>
      <w:i/>
      <w:iCs/>
      <w:sz w:val="22"/>
      <w:szCs w:val="22"/>
    </w:rPr>
  </w:style>
  <w:style w:type="paragraph" w:styleId="711">
    <w:name w:val="Heading 9"/>
    <w:basedOn w:val="871"/>
    <w:next w:val="871"/>
    <w:link w:val="71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2">
    <w:name w:val="Heading 9 Char"/>
    <w:basedOn w:val="875"/>
    <w:link w:val="711"/>
    <w:uiPriority w:val="9"/>
    <w:rPr>
      <w:rFonts w:ascii="Arial" w:hAnsi="Arial" w:eastAsia="Arial" w:cs="Arial"/>
      <w:i/>
      <w:iCs/>
      <w:sz w:val="21"/>
      <w:szCs w:val="21"/>
    </w:rPr>
  </w:style>
  <w:style w:type="paragraph" w:styleId="713">
    <w:name w:val="No Spacing"/>
    <w:uiPriority w:val="1"/>
    <w:qFormat/>
    <w:pPr>
      <w:spacing w:before="0" w:after="0" w:line="240" w:lineRule="auto"/>
    </w:pPr>
  </w:style>
  <w:style w:type="paragraph" w:styleId="714">
    <w:name w:val="Title"/>
    <w:basedOn w:val="871"/>
    <w:next w:val="871"/>
    <w:link w:val="7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5">
    <w:name w:val="Title Char"/>
    <w:basedOn w:val="875"/>
    <w:link w:val="714"/>
    <w:uiPriority w:val="10"/>
    <w:rPr>
      <w:sz w:val="48"/>
      <w:szCs w:val="48"/>
    </w:rPr>
  </w:style>
  <w:style w:type="paragraph" w:styleId="716">
    <w:name w:val="Subtitle"/>
    <w:basedOn w:val="871"/>
    <w:next w:val="871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>
    <w:name w:val="Subtitle Char"/>
    <w:basedOn w:val="875"/>
    <w:link w:val="716"/>
    <w:uiPriority w:val="11"/>
    <w:rPr>
      <w:sz w:val="24"/>
      <w:szCs w:val="24"/>
    </w:rPr>
  </w:style>
  <w:style w:type="paragraph" w:styleId="718">
    <w:name w:val="Quote"/>
    <w:basedOn w:val="871"/>
    <w:next w:val="871"/>
    <w:link w:val="719"/>
    <w:uiPriority w:val="29"/>
    <w:qFormat/>
    <w:pPr>
      <w:ind w:left="720" w:right="720"/>
    </w:pPr>
    <w:rPr>
      <w:i/>
    </w:rPr>
  </w:style>
  <w:style w:type="character" w:styleId="719">
    <w:name w:val="Quote Char"/>
    <w:link w:val="718"/>
    <w:uiPriority w:val="29"/>
    <w:rPr>
      <w:i/>
    </w:rPr>
  </w:style>
  <w:style w:type="paragraph" w:styleId="720">
    <w:name w:val="Intense Quote"/>
    <w:basedOn w:val="871"/>
    <w:next w:val="871"/>
    <w:link w:val="72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1">
    <w:name w:val="Intense Quote Char"/>
    <w:link w:val="720"/>
    <w:uiPriority w:val="30"/>
    <w:rPr>
      <w:i/>
    </w:rPr>
  </w:style>
  <w:style w:type="paragraph" w:styleId="722">
    <w:name w:val="Header"/>
    <w:basedOn w:val="871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Header Char"/>
    <w:basedOn w:val="875"/>
    <w:link w:val="722"/>
    <w:uiPriority w:val="99"/>
  </w:style>
  <w:style w:type="paragraph" w:styleId="724">
    <w:name w:val="Footer"/>
    <w:basedOn w:val="871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>
    <w:name w:val="Footer Char"/>
    <w:basedOn w:val="875"/>
    <w:link w:val="724"/>
    <w:uiPriority w:val="99"/>
  </w:style>
  <w:style w:type="paragraph" w:styleId="726">
    <w:name w:val="Caption"/>
    <w:basedOn w:val="871"/>
    <w:next w:val="871"/>
    <w:link w:val="7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7">
    <w:name w:val="Caption Char"/>
    <w:basedOn w:val="726"/>
    <w:link w:val="724"/>
    <w:uiPriority w:val="99"/>
  </w:style>
  <w:style w:type="table" w:styleId="728">
    <w:name w:val="Table Grid"/>
    <w:basedOn w:val="87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Table Grid Light"/>
    <w:basedOn w:val="87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Plain Table 1"/>
    <w:basedOn w:val="87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2"/>
    <w:basedOn w:val="87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3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3">
    <w:name w:val="Plain Table 4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Plain Table 5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5">
    <w:name w:val="Grid Table 1 Light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1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2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3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4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5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6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2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1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2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3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4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5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6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1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2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3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4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5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6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4"/>
    <w:basedOn w:val="8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7">
    <w:name w:val="Grid Table 4 - Accent 1"/>
    <w:basedOn w:val="8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8">
    <w:name w:val="Grid Table 4 - Accent 2"/>
    <w:basedOn w:val="8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9">
    <w:name w:val="Grid Table 4 - Accent 3"/>
    <w:basedOn w:val="8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0">
    <w:name w:val="Grid Table 4 - Accent 4"/>
    <w:basedOn w:val="8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1">
    <w:name w:val="Grid Table 4 - Accent 5"/>
    <w:basedOn w:val="8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2">
    <w:name w:val="Grid Table 4 - Accent 6"/>
    <w:basedOn w:val="8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3">
    <w:name w:val="Grid Table 5 Dark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1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2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3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7">
    <w:name w:val="Grid Table 5 Dark- Accent 4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5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6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0">
    <w:name w:val="Grid Table 6 Colorful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1">
    <w:name w:val="Grid Table 6 Colorful - Accent 1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2">
    <w:name w:val="Grid Table 6 Colorful - Accent 2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3">
    <w:name w:val="Grid Table 6 Colorful - Accent 3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4">
    <w:name w:val="Grid Table 6 Colorful - Accent 4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5">
    <w:name w:val="Grid Table 6 Colorful - Accent 5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6 Colorful - Accent 6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7">
    <w:name w:val="Grid Table 7 Colorful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1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2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3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4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5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6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1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2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3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4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5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6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2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2">
    <w:name w:val="List Table 2 - Accent 1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3">
    <w:name w:val="List Table 2 - Accent 2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4">
    <w:name w:val="List Table 2 - Accent 3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5">
    <w:name w:val="List Table 2 - Accent 4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6">
    <w:name w:val="List Table 2 - Accent 5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7">
    <w:name w:val="List Table 2 - Accent 6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8">
    <w:name w:val="List Table 3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1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2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3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4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5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6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1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2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3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4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5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6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5 Dark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1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2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3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4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5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6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6 Colorful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0">
    <w:name w:val="List Table 6 Colorful - Accent 1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1">
    <w:name w:val="List Table 6 Colorful - Accent 2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2">
    <w:name w:val="List Table 6 Colorful - Accent 3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3">
    <w:name w:val="List Table 6 Colorful - Accent 4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4">
    <w:name w:val="List Table 6 Colorful - Accent 5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5">
    <w:name w:val="List Table 6 Colorful - Accent 6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6">
    <w:name w:val="List Table 7 Colorful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7">
    <w:name w:val="List Table 7 Colorful - Accent 1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8">
    <w:name w:val="List Table 7 Colorful - Accent 2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9">
    <w:name w:val="List Table 7 Colorful - Accent 3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0">
    <w:name w:val="List Table 7 Colorful - Accent 4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1">
    <w:name w:val="List Table 7 Colorful - Accent 5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2">
    <w:name w:val="List Table 7 Colorful - Accent 6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3">
    <w:name w:val="Lined - Accent"/>
    <w:basedOn w:val="8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4">
    <w:name w:val="Lined - Accent 1"/>
    <w:basedOn w:val="8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5">
    <w:name w:val="Lined - Accent 2"/>
    <w:basedOn w:val="8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6">
    <w:name w:val="Lined - Accent 3"/>
    <w:basedOn w:val="8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7">
    <w:name w:val="Lined - Accent 4"/>
    <w:basedOn w:val="8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8">
    <w:name w:val="Lined - Accent 5"/>
    <w:basedOn w:val="8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9">
    <w:name w:val="Lined - Accent 6"/>
    <w:basedOn w:val="8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0">
    <w:name w:val="Bordered &amp; Lined - Accent"/>
    <w:basedOn w:val="8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Bordered &amp; Lined - Accent 1"/>
    <w:basedOn w:val="8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2">
    <w:name w:val="Bordered &amp; Lined - Accent 2"/>
    <w:basedOn w:val="8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3">
    <w:name w:val="Bordered &amp; Lined - Accent 3"/>
    <w:basedOn w:val="8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4">
    <w:name w:val="Bordered &amp; Lined - Accent 4"/>
    <w:basedOn w:val="8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5">
    <w:name w:val="Bordered &amp; Lined - Accent 5"/>
    <w:basedOn w:val="8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6">
    <w:name w:val="Bordered &amp; Lined - Accent 6"/>
    <w:basedOn w:val="8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7">
    <w:name w:val="Bordered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8">
    <w:name w:val="Bordered - Accent 1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9">
    <w:name w:val="Bordered - Accent 2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0">
    <w:name w:val="Bordered - Accent 3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1">
    <w:name w:val="Bordered - Accent 4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2">
    <w:name w:val="Bordered - Accent 5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3">
    <w:name w:val="Bordered - Accent 6"/>
    <w:basedOn w:val="8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54">
    <w:name w:val="footnote text"/>
    <w:basedOn w:val="871"/>
    <w:link w:val="855"/>
    <w:uiPriority w:val="99"/>
    <w:semiHidden/>
    <w:unhideWhenUsed/>
    <w:pPr>
      <w:spacing w:after="40" w:line="240" w:lineRule="auto"/>
    </w:pPr>
    <w:rPr>
      <w:sz w:val="18"/>
    </w:rPr>
  </w:style>
  <w:style w:type="character" w:styleId="855">
    <w:name w:val="Footnote Text Char"/>
    <w:link w:val="854"/>
    <w:uiPriority w:val="99"/>
    <w:rPr>
      <w:sz w:val="18"/>
    </w:rPr>
  </w:style>
  <w:style w:type="character" w:styleId="856">
    <w:name w:val="footnote reference"/>
    <w:basedOn w:val="875"/>
    <w:uiPriority w:val="99"/>
    <w:unhideWhenUsed/>
    <w:rPr>
      <w:vertAlign w:val="superscript"/>
    </w:rPr>
  </w:style>
  <w:style w:type="paragraph" w:styleId="857">
    <w:name w:val="endnote text"/>
    <w:basedOn w:val="871"/>
    <w:link w:val="858"/>
    <w:uiPriority w:val="99"/>
    <w:semiHidden/>
    <w:unhideWhenUsed/>
    <w:pPr>
      <w:spacing w:after="0" w:line="240" w:lineRule="auto"/>
    </w:pPr>
    <w:rPr>
      <w:sz w:val="20"/>
    </w:rPr>
  </w:style>
  <w:style w:type="character" w:styleId="858">
    <w:name w:val="Endnote Text Char"/>
    <w:link w:val="857"/>
    <w:uiPriority w:val="99"/>
    <w:rPr>
      <w:sz w:val="20"/>
    </w:rPr>
  </w:style>
  <w:style w:type="character" w:styleId="859">
    <w:name w:val="endnote reference"/>
    <w:basedOn w:val="875"/>
    <w:uiPriority w:val="99"/>
    <w:semiHidden/>
    <w:unhideWhenUsed/>
    <w:rPr>
      <w:vertAlign w:val="superscript"/>
    </w:rPr>
  </w:style>
  <w:style w:type="paragraph" w:styleId="860">
    <w:name w:val="toc 1"/>
    <w:basedOn w:val="871"/>
    <w:next w:val="871"/>
    <w:uiPriority w:val="39"/>
    <w:unhideWhenUsed/>
    <w:pPr>
      <w:ind w:left="0" w:right="0" w:firstLine="0"/>
      <w:spacing w:after="57"/>
    </w:pPr>
  </w:style>
  <w:style w:type="paragraph" w:styleId="861">
    <w:name w:val="toc 2"/>
    <w:basedOn w:val="871"/>
    <w:next w:val="871"/>
    <w:uiPriority w:val="39"/>
    <w:unhideWhenUsed/>
    <w:pPr>
      <w:ind w:left="283" w:right="0" w:firstLine="0"/>
      <w:spacing w:after="57"/>
    </w:pPr>
  </w:style>
  <w:style w:type="paragraph" w:styleId="862">
    <w:name w:val="toc 3"/>
    <w:basedOn w:val="871"/>
    <w:next w:val="871"/>
    <w:uiPriority w:val="39"/>
    <w:unhideWhenUsed/>
    <w:pPr>
      <w:ind w:left="567" w:right="0" w:firstLine="0"/>
      <w:spacing w:after="57"/>
    </w:pPr>
  </w:style>
  <w:style w:type="paragraph" w:styleId="863">
    <w:name w:val="toc 4"/>
    <w:basedOn w:val="871"/>
    <w:next w:val="871"/>
    <w:uiPriority w:val="39"/>
    <w:unhideWhenUsed/>
    <w:pPr>
      <w:ind w:left="850" w:right="0" w:firstLine="0"/>
      <w:spacing w:after="57"/>
    </w:pPr>
  </w:style>
  <w:style w:type="paragraph" w:styleId="864">
    <w:name w:val="toc 5"/>
    <w:basedOn w:val="871"/>
    <w:next w:val="871"/>
    <w:uiPriority w:val="39"/>
    <w:unhideWhenUsed/>
    <w:pPr>
      <w:ind w:left="1134" w:right="0" w:firstLine="0"/>
      <w:spacing w:after="57"/>
    </w:pPr>
  </w:style>
  <w:style w:type="paragraph" w:styleId="865">
    <w:name w:val="toc 6"/>
    <w:basedOn w:val="871"/>
    <w:next w:val="871"/>
    <w:uiPriority w:val="39"/>
    <w:unhideWhenUsed/>
    <w:pPr>
      <w:ind w:left="1417" w:right="0" w:firstLine="0"/>
      <w:spacing w:after="57"/>
    </w:pPr>
  </w:style>
  <w:style w:type="paragraph" w:styleId="866">
    <w:name w:val="toc 7"/>
    <w:basedOn w:val="871"/>
    <w:next w:val="871"/>
    <w:uiPriority w:val="39"/>
    <w:unhideWhenUsed/>
    <w:pPr>
      <w:ind w:left="1701" w:right="0" w:firstLine="0"/>
      <w:spacing w:after="57"/>
    </w:pPr>
  </w:style>
  <w:style w:type="paragraph" w:styleId="867">
    <w:name w:val="toc 8"/>
    <w:basedOn w:val="871"/>
    <w:next w:val="871"/>
    <w:uiPriority w:val="39"/>
    <w:unhideWhenUsed/>
    <w:pPr>
      <w:ind w:left="1984" w:right="0" w:firstLine="0"/>
      <w:spacing w:after="57"/>
    </w:pPr>
  </w:style>
  <w:style w:type="paragraph" w:styleId="868">
    <w:name w:val="toc 9"/>
    <w:basedOn w:val="871"/>
    <w:next w:val="871"/>
    <w:uiPriority w:val="39"/>
    <w:unhideWhenUsed/>
    <w:pPr>
      <w:ind w:left="2268" w:right="0" w:firstLine="0"/>
      <w:spacing w:after="57"/>
    </w:pPr>
  </w:style>
  <w:style w:type="paragraph" w:styleId="869">
    <w:name w:val="TOC Heading"/>
    <w:uiPriority w:val="39"/>
    <w:unhideWhenUsed/>
  </w:style>
  <w:style w:type="paragraph" w:styleId="870">
    <w:name w:val="table of figures"/>
    <w:basedOn w:val="871"/>
    <w:next w:val="871"/>
    <w:uiPriority w:val="99"/>
    <w:unhideWhenUsed/>
    <w:pPr>
      <w:spacing w:after="0" w:afterAutospacing="0"/>
    </w:pPr>
  </w:style>
  <w:style w:type="paragraph" w:styleId="871" w:default="1">
    <w:name w:val="Normal"/>
    <w:qFormat/>
    <w:rPr>
      <w:rFonts w:ascii="Times New Roman" w:hAnsi="Times New Roman" w:eastAsia="Times New Roman"/>
    </w:rPr>
  </w:style>
  <w:style w:type="paragraph" w:styleId="872">
    <w:name w:val="Heading 1"/>
    <w:basedOn w:val="871"/>
    <w:link w:val="896"/>
    <w:qFormat/>
    <w:pPr>
      <w:numPr>
        <w:ilvl w:val="0"/>
        <w:numId w:val="6"/>
      </w:numPr>
      <w:keepNext/>
      <w:pageBreakBefore/>
      <w:spacing w:before="480" w:after="240"/>
      <w:outlineLvl w:val="0"/>
    </w:pPr>
    <w:rPr>
      <w:rFonts w:ascii="Arial" w:hAnsi="Arial" w:cs="Arial" w:eastAsiaTheme="minorHAnsi"/>
      <w:sz w:val="40"/>
      <w:szCs w:val="40"/>
    </w:rPr>
  </w:style>
  <w:style w:type="paragraph" w:styleId="873">
    <w:name w:val="Heading 2"/>
    <w:basedOn w:val="871"/>
    <w:link w:val="897"/>
    <w:unhideWhenUsed/>
    <w:qFormat/>
    <w:pPr>
      <w:numPr>
        <w:ilvl w:val="1"/>
        <w:numId w:val="6"/>
      </w:numPr>
      <w:keepNext/>
      <w:spacing w:before="360" w:after="120"/>
      <w:outlineLvl w:val="1"/>
    </w:pPr>
    <w:rPr>
      <w:rFonts w:eastAsiaTheme="minorHAnsi"/>
      <w:sz w:val="32"/>
      <w:szCs w:val="32"/>
    </w:rPr>
  </w:style>
  <w:style w:type="paragraph" w:styleId="874">
    <w:name w:val="Heading 3"/>
    <w:basedOn w:val="871"/>
    <w:next w:val="871"/>
    <w:link w:val="878"/>
    <w:uiPriority w:val="99"/>
    <w:qFormat/>
    <w:pPr>
      <w:ind w:left="284"/>
      <w:jc w:val="both"/>
      <w:keepNext/>
      <w:spacing w:before="240" w:after="60"/>
      <w:outlineLvl w:val="2"/>
    </w:pPr>
    <w:rPr>
      <w:sz w:val="22"/>
    </w:rPr>
  </w:style>
  <w:style w:type="character" w:styleId="875" w:default="1">
    <w:name w:val="Default Paragraph Font"/>
    <w:uiPriority w:val="1"/>
    <w:semiHidden/>
    <w:unhideWhenUsed/>
  </w:style>
  <w:style w:type="table" w:styleId="87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7" w:default="1">
    <w:name w:val="No List"/>
    <w:uiPriority w:val="99"/>
    <w:semiHidden/>
    <w:unhideWhenUsed/>
  </w:style>
  <w:style w:type="character" w:styleId="878" w:customStyle="1">
    <w:name w:val="Заголовок 3 Знак"/>
    <w:link w:val="874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879">
    <w:name w:val="Body Text"/>
    <w:basedOn w:val="871"/>
    <w:link w:val="880"/>
    <w:uiPriority w:val="99"/>
    <w:pPr>
      <w:spacing w:after="120"/>
    </w:pPr>
  </w:style>
  <w:style w:type="character" w:styleId="880" w:customStyle="1">
    <w:name w:val="Основной текст Знак"/>
    <w:link w:val="879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styleId="881">
    <w:name w:val="Hyperlink"/>
    <w:uiPriority w:val="99"/>
    <w:rPr>
      <w:rFonts w:cs="Times New Roman"/>
      <w:color w:val="0000ff"/>
      <w:u w:val="single"/>
    </w:rPr>
  </w:style>
  <w:style w:type="paragraph" w:styleId="882" w:customStyle="1">
    <w:name w:val="Пункт-3"/>
    <w:basedOn w:val="871"/>
    <w:uiPriority w:val="99"/>
    <w:pPr>
      <w:jc w:val="both"/>
      <w:tabs>
        <w:tab w:val="num" w:pos="1418" w:leader="none"/>
      </w:tabs>
    </w:pPr>
    <w:rPr>
      <w:sz w:val="28"/>
    </w:rPr>
  </w:style>
  <w:style w:type="paragraph" w:styleId="883">
    <w:name w:val="Balloon Text"/>
    <w:basedOn w:val="871"/>
    <w:link w:val="884"/>
    <w:uiPriority w:val="99"/>
    <w:semiHidden/>
    <w:rPr>
      <w:rFonts w:ascii="Tahoma" w:hAnsi="Tahoma" w:cs="Tahoma"/>
      <w:sz w:val="16"/>
      <w:szCs w:val="16"/>
    </w:rPr>
  </w:style>
  <w:style w:type="character" w:styleId="884" w:customStyle="1">
    <w:name w:val="Текст выноски Знак"/>
    <w:link w:val="883"/>
    <w:uiPriority w:val="99"/>
    <w:semiHidden/>
    <w:rPr>
      <w:rFonts w:ascii="Tahoma" w:hAnsi="Tahoma" w:cs="Tahoma"/>
      <w:sz w:val="16"/>
      <w:szCs w:val="16"/>
      <w:lang w:eastAsia="ru-RU"/>
    </w:rPr>
  </w:style>
  <w:style w:type="paragraph" w:styleId="885">
    <w:name w:val="List Paragraph"/>
    <w:basedOn w:val="871"/>
    <w:link w:val="902"/>
    <w:uiPriority w:val="34"/>
    <w:qFormat/>
    <w:pPr>
      <w:contextualSpacing/>
      <w:ind w:left="720"/>
    </w:pPr>
  </w:style>
  <w:style w:type="paragraph" w:styleId="886">
    <w:name w:val="Document Map"/>
    <w:basedOn w:val="871"/>
    <w:link w:val="887"/>
    <w:uiPriority w:val="99"/>
    <w:semiHidden/>
    <w:pPr>
      <w:shd w:val="clear" w:color="auto" w:fill="000080"/>
    </w:pPr>
    <w:rPr>
      <w:rFonts w:ascii="Tahoma" w:hAnsi="Tahoma" w:cs="Tahoma"/>
    </w:rPr>
  </w:style>
  <w:style w:type="character" w:styleId="887" w:customStyle="1">
    <w:name w:val="Схема документа Знак"/>
    <w:link w:val="886"/>
    <w:uiPriority w:val="99"/>
    <w:semiHidden/>
    <w:rPr>
      <w:rFonts w:ascii="Times New Roman" w:hAnsi="Times New Roman" w:eastAsia="Times New Roman"/>
      <w:sz w:val="0"/>
      <w:szCs w:val="0"/>
    </w:rPr>
  </w:style>
  <w:style w:type="character" w:styleId="888">
    <w:name w:val="annotation reference"/>
    <w:uiPriority w:val="99"/>
    <w:semiHidden/>
    <w:rPr>
      <w:rFonts w:cs="Times New Roman"/>
      <w:sz w:val="16"/>
      <w:szCs w:val="16"/>
    </w:rPr>
  </w:style>
  <w:style w:type="paragraph" w:styleId="889">
    <w:name w:val="annotation text"/>
    <w:basedOn w:val="871"/>
    <w:link w:val="890"/>
    <w:uiPriority w:val="99"/>
    <w:semiHidden/>
  </w:style>
  <w:style w:type="character" w:styleId="890" w:customStyle="1">
    <w:name w:val="Текст примечания Знак"/>
    <w:link w:val="889"/>
    <w:uiPriority w:val="99"/>
    <w:semiHidden/>
    <w:rPr>
      <w:rFonts w:ascii="Times New Roman" w:hAnsi="Times New Roman" w:eastAsia="Times New Roman"/>
      <w:sz w:val="20"/>
      <w:szCs w:val="20"/>
    </w:rPr>
  </w:style>
  <w:style w:type="paragraph" w:styleId="891">
    <w:name w:val="annotation subject"/>
    <w:basedOn w:val="889"/>
    <w:next w:val="889"/>
    <w:link w:val="892"/>
    <w:uiPriority w:val="99"/>
    <w:semiHidden/>
    <w:rPr>
      <w:b/>
      <w:bCs/>
    </w:rPr>
  </w:style>
  <w:style w:type="character" w:styleId="892" w:customStyle="1">
    <w:name w:val="Тема примечания Знак"/>
    <w:link w:val="891"/>
    <w:uiPriority w:val="99"/>
    <w:semiHidden/>
    <w:rPr>
      <w:rFonts w:ascii="Times New Roman" w:hAnsi="Times New Roman" w:eastAsia="Times New Roman"/>
      <w:b/>
      <w:bCs/>
      <w:sz w:val="20"/>
      <w:szCs w:val="20"/>
    </w:rPr>
  </w:style>
  <w:style w:type="paragraph" w:styleId="893" w:customStyle="1">
    <w:name w:val="Контракт-пункт"/>
    <w:basedOn w:val="871"/>
    <w:pPr>
      <w:ind w:left="1422" w:hanging="720"/>
      <w:jc w:val="both"/>
      <w:tabs>
        <w:tab w:val="num" w:pos="360" w:leader="none"/>
      </w:tabs>
    </w:pPr>
    <w:rPr>
      <w:sz w:val="28"/>
      <w:szCs w:val="24"/>
    </w:rPr>
  </w:style>
  <w:style w:type="paragraph" w:styleId="894">
    <w:name w:val="Body Text 2"/>
    <w:basedOn w:val="871"/>
    <w:link w:val="895"/>
    <w:uiPriority w:val="99"/>
    <w:semiHidden/>
    <w:unhideWhenUsed/>
    <w:pPr>
      <w:spacing w:after="120" w:line="480" w:lineRule="auto"/>
    </w:pPr>
  </w:style>
  <w:style w:type="character" w:styleId="895" w:customStyle="1">
    <w:name w:val="Основной текст 2 Знак"/>
    <w:basedOn w:val="875"/>
    <w:link w:val="894"/>
    <w:uiPriority w:val="99"/>
    <w:semiHidden/>
    <w:rPr>
      <w:rFonts w:ascii="Times New Roman" w:hAnsi="Times New Roman" w:eastAsia="Times New Roman"/>
    </w:rPr>
  </w:style>
  <w:style w:type="character" w:styleId="896" w:customStyle="1">
    <w:name w:val="Заголовок 1 Знак"/>
    <w:basedOn w:val="875"/>
    <w:link w:val="872"/>
    <w:uiPriority w:val="9"/>
    <w:rPr>
      <w:rFonts w:ascii="Arial" w:hAnsi="Arial" w:cs="Arial" w:eastAsiaTheme="minorHAnsi"/>
      <w:sz w:val="40"/>
      <w:szCs w:val="40"/>
    </w:rPr>
  </w:style>
  <w:style w:type="character" w:styleId="897" w:customStyle="1">
    <w:name w:val="Заголовок 2 Знак"/>
    <w:basedOn w:val="875"/>
    <w:link w:val="873"/>
    <w:uiPriority w:val="9"/>
    <w:semiHidden/>
    <w:rPr>
      <w:rFonts w:ascii="Times New Roman" w:hAnsi="Times New Roman" w:eastAsiaTheme="minorHAnsi"/>
      <w:sz w:val="32"/>
      <w:szCs w:val="32"/>
    </w:rPr>
  </w:style>
  <w:style w:type="paragraph" w:styleId="898" w:customStyle="1">
    <w:name w:val="Пункт"/>
    <w:basedOn w:val="871"/>
    <w:pPr>
      <w:numPr>
        <w:ilvl w:val="2"/>
        <w:numId w:val="6"/>
      </w:numPr>
      <w:jc w:val="both"/>
      <w:spacing w:line="360" w:lineRule="auto"/>
    </w:pPr>
    <w:rPr>
      <w:rFonts w:eastAsiaTheme="minorHAnsi"/>
      <w:sz w:val="28"/>
      <w:szCs w:val="28"/>
    </w:rPr>
  </w:style>
  <w:style w:type="paragraph" w:styleId="899" w:customStyle="1">
    <w:name w:val="Подпункт"/>
    <w:basedOn w:val="871"/>
    <w:pPr>
      <w:numPr>
        <w:ilvl w:val="3"/>
        <w:numId w:val="6"/>
      </w:numPr>
      <w:jc w:val="both"/>
      <w:spacing w:line="360" w:lineRule="auto"/>
    </w:pPr>
    <w:rPr>
      <w:rFonts w:eastAsiaTheme="minorHAnsi"/>
      <w:sz w:val="28"/>
      <w:szCs w:val="28"/>
    </w:rPr>
  </w:style>
  <w:style w:type="character" w:styleId="900" w:customStyle="1">
    <w:name w:val="Подподпункт Знак"/>
    <w:basedOn w:val="875"/>
    <w:link w:val="901"/>
  </w:style>
  <w:style w:type="paragraph" w:styleId="901" w:customStyle="1">
    <w:name w:val="Подподпункт"/>
    <w:basedOn w:val="871"/>
    <w:link w:val="900"/>
    <w:pPr>
      <w:numPr>
        <w:ilvl w:val="4"/>
        <w:numId w:val="6"/>
      </w:numPr>
      <w:jc w:val="both"/>
      <w:spacing w:line="360" w:lineRule="auto"/>
    </w:pPr>
    <w:rPr>
      <w:rFonts w:ascii="Calibri" w:hAnsi="Calibri" w:eastAsia="Calibri"/>
    </w:rPr>
  </w:style>
  <w:style w:type="character" w:styleId="902" w:customStyle="1">
    <w:name w:val="Абзац списка Знак"/>
    <w:link w:val="885"/>
    <w:uiPriority w:val="34"/>
    <w:rPr>
      <w:rFonts w:ascii="Times New Roman" w:hAnsi="Times New Roman" w:eastAsia="Times New Roman"/>
    </w:rPr>
  </w:style>
  <w:style w:type="paragraph" w:styleId="903" w:customStyle="1">
    <w:name w:val="Контракт-подпункт"/>
    <w:basedOn w:val="871"/>
    <w:pPr>
      <w:ind w:hanging="1134"/>
      <w:jc w:val="both"/>
      <w:tabs>
        <w:tab w:val="num" w:pos="360" w:leader="none"/>
        <w:tab w:val="num" w:pos="1418" w:leader="none"/>
      </w:tabs>
    </w:pPr>
    <w:rPr>
      <w:sz w:val="28"/>
      <w:szCs w:val="24"/>
    </w:rPr>
  </w:style>
  <w:style w:type="paragraph" w:styleId="904" w:customStyle="1">
    <w:name w:val="Контракт-раздел"/>
    <w:basedOn w:val="871"/>
    <w:next w:val="893"/>
    <w:pPr>
      <w:ind w:left="720" w:hanging="360"/>
      <w:jc w:val="center"/>
      <w:keepNext/>
      <w:spacing w:before="360" w:after="120"/>
      <w:tabs>
        <w:tab w:val="left" w:pos="540" w:leader="none"/>
      </w:tabs>
      <w:outlineLvl w:val="2"/>
    </w:pPr>
    <w:rPr>
      <w:b/>
      <w:bCs/>
      <w:caps/>
      <w:smallCaps/>
      <w:sz w:val="28"/>
      <w:szCs w:val="24"/>
    </w:rPr>
  </w:style>
  <w:style w:type="paragraph" w:styleId="905" w:customStyle="1">
    <w:name w:val="ConsPlusNormal"/>
    <w:pPr>
      <w:widowControl w:val="off"/>
    </w:pPr>
    <w:rPr>
      <w:rFonts w:ascii="Arial" w:hAnsi="Arial" w:eastAsia="Times New Roman" w:cs="Arial"/>
    </w:rPr>
  </w:style>
  <w:style w:type="character" w:styleId="906" w:customStyle="1">
    <w:name w:val="комментарий"/>
    <w:rPr>
      <w:rFonts w:cs="Times New Roman"/>
      <w:i/>
      <w:u w:val="none"/>
      <w:shd w:val="clear" w:color="auto" w:fill="ffff99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Холдинг МРСК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TegitEA</cp:lastModifiedBy>
  <cp:revision>14</cp:revision>
  <dcterms:created xsi:type="dcterms:W3CDTF">2021-09-23T10:35:00Z</dcterms:created>
  <dcterms:modified xsi:type="dcterms:W3CDTF">2025-11-20T07:13:34Z</dcterms:modified>
</cp:coreProperties>
</file>